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ascii="Arial" w:hAnsi="Arial" w:eastAsia="宋体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TSG-RAN WG4 Meeting #100-e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R4-2113193</w:t>
      </w:r>
      <w:bookmarkStart w:id="1" w:name="_GoBack"/>
      <w:bookmarkEnd w:id="1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 w:cs="Arial"/>
          <w:b/>
          <w:sz w:val="24"/>
          <w:lang w:eastAsia="zh-CN"/>
        </w:rPr>
        <w:t>Electronic Meeting, August 16-27,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rFonts w:hint="eastAsia" w:eastAsiaTheme="minorEastAsia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eastAsia="MS Mincho"/>
          <w:b/>
          <w:sz w:val="24"/>
          <w:lang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Theme="minorEastAsia"/>
          <w:b/>
          <w:sz w:val="24"/>
          <w:lang w:eastAsia="zh-CN"/>
        </w:rPr>
        <w:t xml:space="preserve">          </w:t>
      </w:r>
      <w:r>
        <w:rPr>
          <w:rFonts w:hint="eastAsia" w:ascii="Arial" w:hAnsi="Arial" w:eastAsia="MS Mincho"/>
          <w:b/>
          <w:sz w:val="24"/>
          <w:lang w:eastAsia="zh-CN"/>
        </w:rPr>
        <w:t>Discussion on NR FR2 HST scenario-A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sz w:val="24"/>
          <w:lang w:val="en-US" w:eastAsia="zh-CN"/>
        </w:rPr>
        <w:t>9.9.2.1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 xml:space="preserve">The transmission scheme and deployment for scenario-A were discussed in RAN 4# 99-e meeting. While the deployment type for scenario-A was not reached and the issues for uni-directional deployment was captured in the WF </w:t>
      </w:r>
      <w:r>
        <w:rPr>
          <w:rFonts w:eastAsia="宋体"/>
          <w:szCs w:val="20"/>
          <w:vertAlign w:val="superscript"/>
          <w:lang w:val="en-US" w:eastAsia="zh-CN"/>
        </w:rPr>
        <w:t>[1]</w:t>
      </w:r>
      <w:r>
        <w:rPr>
          <w:rFonts w:hint="eastAsia" w:eastAsia="宋体"/>
          <w:szCs w:val="20"/>
          <w:lang w:val="en-US" w:eastAsia="zh-CN"/>
        </w:rPr>
        <w:t>.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we give our views about deployment and transmission scheme for HST_FR2 scenario-A.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 xml:space="preserve">In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RAN4# 99-e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meeting, the following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issues for scenario-A were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reached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</w:rPr>
        <w:t>[1]</w:t>
      </w:r>
      <w:r>
        <w:rPr>
          <w:rFonts w:ascii="Times New Roman" w:hAnsi="Times New Roman"/>
          <w:bCs/>
          <w:kern w:val="0"/>
          <w:sz w:val="20"/>
          <w:szCs w:val="20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Large difference in propagation delays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FFS the impact of the large difference in propagation delays from different RRHs in a cell when DPS scheme is used:  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Large difference in propagation delays exist in </w:t>
            </w:r>
          </w:p>
          <w:p>
            <w:pPr>
              <w:numPr>
                <w:ilvl w:val="1"/>
                <w:numId w:val="6"/>
              </w:numPr>
              <w:tabs>
                <w:tab w:val="left" w:pos="420"/>
                <w:tab w:val="clear" w:pos="126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Uni-directional RRH deployment</w:t>
            </w:r>
          </w:p>
          <w:p>
            <w:pPr>
              <w:numPr>
                <w:ilvl w:val="1"/>
                <w:numId w:val="6"/>
              </w:numPr>
              <w:tabs>
                <w:tab w:val="left" w:pos="420"/>
                <w:tab w:val="clear" w:pos="126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Some schemes for bi-directional RRH deployment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Whether or not one deployment scenario should be precluded in Rel-17 needs to consider the decision from RRM session.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bCs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RRM session will investigate and decide on potential methods to mitigate the propagation delay issue</w:t>
            </w:r>
          </w:p>
        </w:tc>
      </w:tr>
    </w:tbl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The max timing gap between two RRH for scenario-A uni-directional deployment is about 3.3 us. For DL transmission, propagation delay can be estimated by SSBs from different RRHs; For UL transmission, there is an ongoing discussion about TA adjustment. It is better to wait for the result from RRM session for UL transmission timing.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:</w:t>
      </w:r>
      <w:r>
        <w:rPr>
          <w:rFonts w:hint="eastAsia" w:ascii="Times New Roman" w:hAnsi="Times New Roman"/>
          <w:b/>
          <w:kern w:val="0"/>
          <w:sz w:val="20"/>
          <w:szCs w:val="20"/>
        </w:rPr>
        <w:t>To estimate propagation delay for DL by SSBs from different RRHs when the propagation delay difference of scenario-A uni-directional deployment is quite large, and to await the outcome from RRM session about the schemes for UL propagation delay differences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Scheme 2 for scenario-A bi-directional deployment is still FFS in RAN4# 99-e meeting 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</w:rPr>
        <w:t>[1]</w:t>
      </w:r>
      <w:r>
        <w:rPr>
          <w:rFonts w:hint="eastAsia" w:ascii="Times New Roman" w:hAnsi="Times New Roman"/>
          <w:bCs/>
          <w:kern w:val="0"/>
          <w:sz w:val="20"/>
          <w:szCs w:val="20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FFS Scheme 2 from deployment scenario perspective :  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on potential coverage hole issue, 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on propagation delay jump issue. </w:t>
            </w:r>
          </w:p>
        </w:tc>
      </w:tr>
    </w:tbl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Figure 1 shows the comparison between scheme 1 and scheme 2 for scenario-A bi-directional deployment. Table A-1 in appendix summarizes our evaluation assumptions for these two schemes of scenario-A bi-directional deployment. Figure 2 and figure 3 show scheme 1 and scheme 2 respectively.</w:t>
      </w:r>
    </w:p>
    <w:p>
      <w:pPr>
        <w:pStyle w:val="29"/>
        <w:suppressAutoHyphens/>
        <w:ind w:firstLine="0" w:firstLineChars="0"/>
        <w:jc w:val="center"/>
      </w:pPr>
      <w:r>
        <w:drawing>
          <wp:inline distT="0" distB="0" distL="0" distR="0">
            <wp:extent cx="3742055" cy="3046730"/>
            <wp:effectExtent l="0" t="0" r="6985" b="1270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117" t="2087" r="6959" b="2456"/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304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suppressAutoHyphens/>
        <w:ind w:firstLine="0" w:firstLineChars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Figure 1, Rx power comparison between scheme 1 and scheme 2 for scenario-A bi-directional deployment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0" distR="0">
            <wp:extent cx="5895975" cy="1181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ind w:firstLine="40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Figure 2 Depiction of scheme 1 for scenario-A bi-directional deployment</w:t>
      </w:r>
    </w:p>
    <w:p>
      <w:pPr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0" distR="0">
            <wp:extent cx="5895975" cy="1181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ind w:firstLine="40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Figure 3 Depiction of scheme 2 for scenario-A bi-directional deployment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From figure 1, we can find the Rx power of scheme 2 is very similar to that of scheme 1. Figure 4 shows the Rx power from different beam for scheme 2.  </w:t>
      </w:r>
    </w:p>
    <w:p>
      <w:pPr>
        <w:pStyle w:val="29"/>
        <w:suppressAutoHyphens/>
        <w:ind w:firstLine="0" w:firstLineChars="0"/>
        <w:jc w:val="center"/>
      </w:pPr>
      <w:r>
        <w:drawing>
          <wp:inline distT="0" distB="0" distL="0" distR="0">
            <wp:extent cx="4749165" cy="38004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57" t="2389" r="6181" b="2560"/>
                    <a:stretch>
                      <a:fillRect/>
                    </a:stretch>
                  </pic:blipFill>
                  <pic:spPr>
                    <a:xfrm>
                      <a:off x="0" y="0"/>
                      <a:ext cx="4749421" cy="3800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suppressAutoHyphens/>
        <w:ind w:firstLine="0" w:firstLineChars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Figure 4, Rx power from different beams when CPE moves from Ds to 2*Ds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From figure 2 we can find that there are 2 effective beams when CPE moves from Ds to 2*Ds. These 2 beams are beam 2 of RRH n and beam 3 of RRH n+1. </w:t>
      </w:r>
    </w:p>
    <w:p>
      <w:pPr>
        <w:pStyle w:val="29"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Observation 1: Based on the simulation result, there are 2 effective beams for scheme 2 of scenario-A bi-directional deployment when CPE moves from one RRH to another which means scheme 1 and scheme2 are equivalent.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Base on the analysis above, the propagation delay for scheme 2 of scenario-A bi-directional deployment is given in figure 5.</w:t>
      </w:r>
    </w:p>
    <w:p>
      <w:pPr>
        <w:pStyle w:val="29"/>
        <w:suppressAutoHyphens/>
        <w:ind w:firstLine="0" w:firstLineChars="0"/>
        <w:jc w:val="center"/>
      </w:pPr>
      <w:r>
        <w:drawing>
          <wp:inline distT="0" distB="0" distL="114300" distR="114300">
            <wp:extent cx="4827905" cy="3724910"/>
            <wp:effectExtent l="0" t="0" r="3175" b="8890"/>
            <wp:docPr id="3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rcRect l="7383" t="3468" r="8146" b="5908"/>
                    <a:stretch>
                      <a:fillRect/>
                    </a:stretch>
                  </pic:blipFill>
                  <pic:spPr>
                    <a:xfrm>
                      <a:off x="0" y="0"/>
                      <a:ext cx="4827905" cy="372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9"/>
        <w:suppressAutoHyphens/>
        <w:ind w:firstLine="0" w:firstLineChars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Figure </w:t>
      </w:r>
      <w:r>
        <w:rPr>
          <w:rFonts w:hint="eastAsia" w:ascii="Times New Roman" w:hAnsi="Times New Roman"/>
          <w:b/>
          <w:bCs/>
          <w:sz w:val="20"/>
          <w:szCs w:val="20"/>
        </w:rPr>
        <w:t>5</w:t>
      </w:r>
      <w:r>
        <w:rPr>
          <w:rFonts w:ascii="Times New Roman" w:hAnsi="Times New Roman"/>
          <w:b/>
          <w:bCs/>
          <w:sz w:val="20"/>
          <w:szCs w:val="20"/>
        </w:rPr>
        <w:t>, Propagation delay for scheme 2 of scenario-A bi-directional deployment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Figure 5 shows that there is a jump of propagation delay for scheme 2 in scenario-A bi-directional deployment and the value is 2.0758 us based on the evaluation assumption.</w:t>
      </w:r>
    </w:p>
    <w:p>
      <w:pPr>
        <w:pStyle w:val="29"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From figure 5 we can find that scheme 2 faces the problem of propagation delay jump. Whether propagation delay hoping can be handled is still under discussion, so we prefer to down select scheme 1 as the transmission scheme for scenario-A bi-directional deployment if bi-directional deployment is supported for scenario-A.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Observation 2: There is a jump of propagation delay for scheme 2 in scenario-A bi-directional deployment and the value is about 2 us, </w:t>
      </w:r>
      <w:r>
        <w:rPr>
          <w:rFonts w:ascii="Times New Roman" w:hAnsi="Times New Roman"/>
          <w:b/>
          <w:kern w:val="0"/>
          <w:sz w:val="20"/>
          <w:szCs w:val="20"/>
        </w:rPr>
        <w:t>which is 3 times la</w:t>
      </w:r>
      <w:r>
        <w:rPr>
          <w:rFonts w:hint="eastAsia" w:ascii="Times New Roman" w:hAnsi="Times New Roman"/>
          <w:b/>
          <w:kern w:val="0"/>
          <w:sz w:val="20"/>
          <w:szCs w:val="20"/>
        </w:rPr>
        <w:t>r</w:t>
      </w:r>
      <w:r>
        <w:rPr>
          <w:rFonts w:ascii="Times New Roman" w:hAnsi="Times New Roman"/>
          <w:b/>
          <w:kern w:val="0"/>
          <w:sz w:val="20"/>
          <w:szCs w:val="20"/>
        </w:rPr>
        <w:t>ger than CP duration</w:t>
      </w:r>
      <w:r>
        <w:rPr>
          <w:rFonts w:hint="eastAsia" w:ascii="Times New Roman" w:hAnsi="Times New Roman"/>
          <w:b/>
          <w:kern w:val="0"/>
          <w:sz w:val="20"/>
          <w:szCs w:val="20"/>
        </w:rPr>
        <w:t>. Scheme 1 does not have the problem of propagation delay jump.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Proposal 2: To down select scheme 1 as the transmission scheme for scenario-A bi-directional deployment if bi-directional deployment is supported for scenario-A.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rPr>
          <w:rFonts w:eastAsia="宋体"/>
          <w:bCs/>
          <w:szCs w:val="20"/>
          <w:lang w:eastAsia="zh-CN"/>
        </w:rPr>
      </w:pPr>
      <w:r>
        <w:rPr>
          <w:rFonts w:hint="eastAsia" w:eastAsia="宋体"/>
          <w:bCs/>
          <w:szCs w:val="20"/>
          <w:lang w:eastAsia="zh-CN"/>
        </w:rPr>
        <w:t>In this contribution, we provide the following observations and proposals for HST_FR2 scenario-A:</w:t>
      </w:r>
    </w:p>
    <w:p>
      <w:pPr>
        <w:pStyle w:val="29"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Observation 1: Based on the simulation result, there are 2 effective beams for scheme 2 of scenario-A bi-directional deployment when CPE moves from one RRH to another which means scheme 1 and scheme2 are equivalent.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Observation 2: There is a jump of propagation delay for scheme 2 in scenario-A bi-directional deployment and the value is about 2 us, </w:t>
      </w:r>
      <w:r>
        <w:rPr>
          <w:rFonts w:ascii="Times New Roman" w:hAnsi="Times New Roman"/>
          <w:b/>
          <w:kern w:val="0"/>
          <w:sz w:val="20"/>
          <w:szCs w:val="20"/>
        </w:rPr>
        <w:t>which is 3 times la</w:t>
      </w:r>
      <w:r>
        <w:rPr>
          <w:rFonts w:hint="eastAsia" w:ascii="Times New Roman" w:hAnsi="Times New Roman"/>
          <w:b/>
          <w:kern w:val="0"/>
          <w:sz w:val="20"/>
          <w:szCs w:val="20"/>
        </w:rPr>
        <w:t>r</w:t>
      </w:r>
      <w:r>
        <w:rPr>
          <w:rFonts w:ascii="Times New Roman" w:hAnsi="Times New Roman"/>
          <w:b/>
          <w:kern w:val="0"/>
          <w:sz w:val="20"/>
          <w:szCs w:val="20"/>
        </w:rPr>
        <w:t>ger than CP duration</w:t>
      </w:r>
      <w:r>
        <w:rPr>
          <w:rFonts w:hint="eastAsia" w:ascii="Times New Roman" w:hAnsi="Times New Roman"/>
          <w:b/>
          <w:kern w:val="0"/>
          <w:sz w:val="20"/>
          <w:szCs w:val="20"/>
        </w:rPr>
        <w:t>. Scheme 1 does not have the problem of propagation delay jump.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:</w:t>
      </w:r>
      <w:r>
        <w:rPr>
          <w:rFonts w:hint="eastAsia" w:ascii="Times New Roman" w:hAnsi="Times New Roman"/>
          <w:b/>
          <w:kern w:val="0"/>
          <w:sz w:val="20"/>
          <w:szCs w:val="20"/>
        </w:rPr>
        <w:t>To estimate propagation delay for DL by SSBs from different RRHs when the propagation delay difference of scenario-A uni-directional deployment is quite large, and to await the outcome from RRM session about the schemes for UL propagation delay differences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Proposal 2: To down select scheme 1 as the transmission scheme for scenario-A bi-directional deployment if bi-directional deployment is supported for scenario-A.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</w:p>
    <w:p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  <w:lang w:val="en-US"/>
        </w:rPr>
        <w:t>R4-2108660WF on FR2 HST Deployment Scenario Analysis</w:t>
      </w:r>
    </w:p>
    <w:p>
      <w:pPr>
        <w:rPr>
          <w:szCs w:val="20"/>
        </w:rPr>
      </w:pPr>
      <w:r>
        <w:rPr>
          <w:rFonts w:hint="eastAsia"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Appendix</w:t>
      </w:r>
    </w:p>
    <w:p>
      <w:pPr>
        <w:pStyle w:val="6"/>
        <w:adjustRightInd w:val="0"/>
        <w:snapToGrid w:val="0"/>
        <w:spacing w:line="240" w:lineRule="auto"/>
        <w:jc w:val="center"/>
        <w:rPr>
          <w:rFonts w:ascii="Times New Roman" w:hAnsi="Times New Roman"/>
          <w:lang w:eastAsia="zh-CN"/>
        </w:rPr>
      </w:pPr>
      <w:bookmarkStart w:id="0" w:name="_Ref492904416"/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lang w:eastAsia="zh-CN"/>
        </w:rPr>
        <w:t>A-1</w:t>
      </w:r>
      <w:bookmarkEnd w:id="0"/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</w:rPr>
        <w:t xml:space="preserve">valuation assumptions for </w:t>
      </w:r>
      <w:r>
        <w:rPr>
          <w:rFonts w:ascii="Times New Roman" w:hAnsi="Times New Roman"/>
          <w:lang w:eastAsia="zh-CN"/>
        </w:rPr>
        <w:t>scenario-A bi-directional deployment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2995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872" w:type="dxa"/>
            <w:vMerge w:val="restart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Parameters</w:t>
            </w:r>
          </w:p>
        </w:tc>
        <w:tc>
          <w:tcPr>
            <w:tcW w:w="5864" w:type="dxa"/>
            <w:gridSpan w:val="2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Schemes for </w:t>
            </w:r>
            <w:r>
              <w:rPr>
                <w:szCs w:val="20"/>
                <w:lang w:eastAsia="zh-CN"/>
              </w:rPr>
              <w:t>scenario-A bi-directional deployment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872" w:type="dxa"/>
            <w:vMerge w:val="continue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szCs w:val="20"/>
              </w:rPr>
            </w:pPr>
          </w:p>
        </w:tc>
        <w:tc>
          <w:tcPr>
            <w:tcW w:w="2995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Scheme 1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Scheme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configuration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[4 8 2 1 1]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g,H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=0.5λ, </w:t>
            </w: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</w:t>
            </w:r>
            <w:r>
              <w:rPr>
                <w:rFonts w:eastAsia="宋体"/>
                <w:i/>
                <w:iCs/>
                <w:szCs w:val="20"/>
                <w:vertAlign w:val="subscript"/>
                <w:lang w:eastAsia="zh-CN"/>
              </w:rPr>
              <w:t>V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>=0.5λ</w:t>
            </w:r>
          </w:p>
          <w:p>
            <w:pPr>
              <w:adjustRightInd w:val="0"/>
              <w:snapToGrid w:val="0"/>
              <w:spacing w:after="0" w:line="240" w:lineRule="auto"/>
              <w:rPr>
                <w:position w:val="-56"/>
                <w:szCs w:val="20"/>
              </w:rPr>
            </w:pPr>
            <w:r>
              <w:rPr>
                <w:position w:val="-12"/>
                <w:szCs w:val="20"/>
              </w:rPr>
              <w:object>
                <v:shape id="_x0000_i1025" o:spt="75" type="#_x0000_t75" style="height:18.25pt;width:119.3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  <w:p>
            <w:pPr>
              <w:adjustRightInd w:val="0"/>
              <w:snapToGrid w:val="0"/>
              <w:spacing w:after="0" w:line="240" w:lineRule="auto"/>
              <w:rPr>
                <w:position w:val="-56"/>
                <w:szCs w:val="20"/>
                <w:lang w:eastAsia="zh-CN"/>
              </w:rPr>
            </w:pPr>
            <w:r>
              <w:rPr>
                <w:position w:val="-12"/>
                <w:szCs w:val="20"/>
              </w:rPr>
              <w:object>
                <v:shape id="_x0000_i1026" o:spt="75" type="#_x0000_t75" style="height:18.25pt;width:119.8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configuration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[4 2 2 1 1]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g,H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=0.5λ, </w:t>
            </w: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</w:t>
            </w:r>
            <w:r>
              <w:rPr>
                <w:rFonts w:eastAsia="宋体"/>
                <w:i/>
                <w:iCs/>
                <w:szCs w:val="20"/>
                <w:vertAlign w:val="subscript"/>
                <w:lang w:eastAsia="zh-CN"/>
              </w:rPr>
              <w:t>V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>=0.5λ</w:t>
            </w:r>
          </w:p>
          <w:p>
            <w:pPr>
              <w:adjustRightInd w:val="0"/>
              <w:snapToGrid w:val="0"/>
              <w:spacing w:after="0" w:line="240" w:lineRule="auto"/>
              <w:rPr>
                <w:position w:val="-56"/>
                <w:szCs w:val="20"/>
              </w:rPr>
            </w:pPr>
            <w:r>
              <w:rPr>
                <w:position w:val="-12"/>
                <w:szCs w:val="20"/>
              </w:rPr>
              <w:object>
                <v:shape id="_x0000_i1027" o:spt="75" type="#_x0000_t75" style="height:18.25pt;width:119.3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position w:val="-12"/>
                <w:szCs w:val="20"/>
              </w:rPr>
              <w:object>
                <v:shape id="_x0000_i1028" o:spt="75" type="#_x0000_t75" style="height:18.25pt;width:119.8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panel placement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azimuth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180 degree azimuth for left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szCs w:val="20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left 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Tx power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szCs w:val="20"/>
                <w:lang w:eastAsia="ja-JP"/>
              </w:rPr>
            </w:pPr>
            <w:r>
              <w:rPr>
                <w:rFonts w:eastAsia="宋体"/>
                <w:szCs w:val="20"/>
                <w:lang w:eastAsia="zh-CN"/>
              </w:rPr>
              <w:t>30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height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pStyle w:val="36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15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height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pStyle w:val="36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connector loss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pStyle w:val="36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Paht loss model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pStyle w:val="36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RMaLOS PL1 TS38901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Tx Beam* </w:t>
            </w:r>
          </w:p>
        </w:tc>
        <w:tc>
          <w:tcPr>
            <w:tcW w:w="2995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1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-0.8185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90.8184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1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-0.8185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90.8184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szCs w:val="20"/>
              </w:rPr>
            </w:pPr>
          </w:p>
        </w:tc>
        <w:tc>
          <w:tcPr>
            <w:tcW w:w="2995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2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-179.1815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90.8184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2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-1.9092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91.4316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szCs w:val="20"/>
                <w:lang w:eastAsia="ja-JP"/>
              </w:rPr>
            </w:pPr>
          </w:p>
        </w:tc>
        <w:tc>
          <w:tcPr>
            <w:tcW w:w="2995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-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3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-178.0908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Down tilt: 91.9081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Rx Beam*</w:t>
            </w:r>
          </w:p>
        </w:tc>
        <w:tc>
          <w:tcPr>
            <w:tcW w:w="2995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Left panel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179.1815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89.1816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Left panel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179.1815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89.1816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szCs w:val="20"/>
                <w:lang w:eastAsia="ja-JP"/>
              </w:rPr>
            </w:pPr>
          </w:p>
        </w:tc>
        <w:tc>
          <w:tcPr>
            <w:tcW w:w="2995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Right panel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0.8185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89.1816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Right panel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0.8185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89.1816 degree</w:t>
            </w:r>
          </w:p>
        </w:tc>
      </w:tr>
    </w:tbl>
    <w:p>
      <w:pPr>
        <w:pStyle w:val="9"/>
        <w:numPr>
          <w:ilvl w:val="0"/>
          <w:numId w:val="0"/>
        </w:numPr>
        <w:adjustRightInd w:val="0"/>
        <w:spacing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* The track is parallel to x-axis. The CPE moves in the positive direction of the x-axis. The y-axis coordinate of the RRH is Dmin. The 0 degree of elevation is parallel to z-axis.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47A3F9"/>
    <w:multiLevelType w:val="singleLevel"/>
    <w:tmpl w:val="CA47A3F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cs="Wingdings"/>
      </w:rPr>
    </w:lvl>
  </w:abstractNum>
  <w:abstractNum w:abstractNumId="1">
    <w:nsid w:val="EAC1F30F"/>
    <w:multiLevelType w:val="multilevel"/>
    <w:tmpl w:val="EAC1F30F"/>
    <w:lvl w:ilvl="0" w:tentative="0">
      <w:start w:val="1"/>
      <w:numFmt w:val="bullet"/>
      <w:lvlText w:val="·"/>
      <w:lvlJc w:val="left"/>
      <w:pPr>
        <w:tabs>
          <w:tab w:val="left" w:pos="840"/>
        </w:tabs>
        <w:ind w:left="1260" w:hanging="420"/>
      </w:pPr>
      <w:rPr>
        <w:rFonts w:hint="default" w:ascii="宋体" w:hAnsi="宋体" w:eastAsia="宋体" w:cs="宋体"/>
      </w:rPr>
    </w:lvl>
    <w:lvl w:ilvl="1" w:tentative="0">
      <w:start w:val="1"/>
      <w:numFmt w:val="bullet"/>
      <w:lvlText w:val="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620" w:hanging="420"/>
      </w:pPr>
      <w:rPr>
        <w:rFonts w:hint="default" w:ascii="Wingdings" w:hAnsi="Wingdings"/>
      </w:rPr>
    </w:lvl>
  </w:abstractNum>
  <w:abstractNum w:abstractNumId="2">
    <w:nsid w:val="F555371E"/>
    <w:multiLevelType w:val="singleLevel"/>
    <w:tmpl w:val="F555371E"/>
    <w:lvl w:ilvl="0" w:tentative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hint="default" w:ascii="BatangChe" w:hAnsi="BatangChe" w:eastAsia="BatangChe" w:cs="BatangChe"/>
      </w:rPr>
    </w:lvl>
  </w:abstractNum>
  <w:abstractNum w:abstractNumId="3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624027"/>
    <w:rsid w:val="018B3BAA"/>
    <w:rsid w:val="01957959"/>
    <w:rsid w:val="01DC1C82"/>
    <w:rsid w:val="02065A2E"/>
    <w:rsid w:val="02626E3D"/>
    <w:rsid w:val="0298367A"/>
    <w:rsid w:val="02D254EC"/>
    <w:rsid w:val="02F72239"/>
    <w:rsid w:val="02FE5F82"/>
    <w:rsid w:val="032D5AEE"/>
    <w:rsid w:val="03A05508"/>
    <w:rsid w:val="03AB67DC"/>
    <w:rsid w:val="03C77456"/>
    <w:rsid w:val="043D2559"/>
    <w:rsid w:val="0478015E"/>
    <w:rsid w:val="0526729B"/>
    <w:rsid w:val="05510DD1"/>
    <w:rsid w:val="062A620F"/>
    <w:rsid w:val="064B00B0"/>
    <w:rsid w:val="06654A0B"/>
    <w:rsid w:val="06823D8F"/>
    <w:rsid w:val="07622262"/>
    <w:rsid w:val="07CD3CDD"/>
    <w:rsid w:val="09294F7D"/>
    <w:rsid w:val="09674661"/>
    <w:rsid w:val="097E672F"/>
    <w:rsid w:val="09825F02"/>
    <w:rsid w:val="09AB6C45"/>
    <w:rsid w:val="09E20449"/>
    <w:rsid w:val="0A2802DC"/>
    <w:rsid w:val="0A731B50"/>
    <w:rsid w:val="0B802D0D"/>
    <w:rsid w:val="0BC176FB"/>
    <w:rsid w:val="0BF41031"/>
    <w:rsid w:val="0C953742"/>
    <w:rsid w:val="0CA242EA"/>
    <w:rsid w:val="0D613BA3"/>
    <w:rsid w:val="0D744565"/>
    <w:rsid w:val="0D7F564D"/>
    <w:rsid w:val="0D835665"/>
    <w:rsid w:val="0DE052FE"/>
    <w:rsid w:val="0E3330D0"/>
    <w:rsid w:val="0F11785B"/>
    <w:rsid w:val="0F372967"/>
    <w:rsid w:val="0FDA7DDA"/>
    <w:rsid w:val="0FFA1150"/>
    <w:rsid w:val="112D72C6"/>
    <w:rsid w:val="11A50508"/>
    <w:rsid w:val="120639A8"/>
    <w:rsid w:val="125D4125"/>
    <w:rsid w:val="12AE4121"/>
    <w:rsid w:val="13583391"/>
    <w:rsid w:val="137F4008"/>
    <w:rsid w:val="13F672DD"/>
    <w:rsid w:val="141B497D"/>
    <w:rsid w:val="144E5CD4"/>
    <w:rsid w:val="15220493"/>
    <w:rsid w:val="158F210D"/>
    <w:rsid w:val="15E12A88"/>
    <w:rsid w:val="15E95672"/>
    <w:rsid w:val="16271D63"/>
    <w:rsid w:val="16BD2FB9"/>
    <w:rsid w:val="16E7731D"/>
    <w:rsid w:val="179855D1"/>
    <w:rsid w:val="19607D81"/>
    <w:rsid w:val="19AF5CF6"/>
    <w:rsid w:val="1AA54D0B"/>
    <w:rsid w:val="1C3672FA"/>
    <w:rsid w:val="1C3A751E"/>
    <w:rsid w:val="1C5D00DA"/>
    <w:rsid w:val="1C7D0C1A"/>
    <w:rsid w:val="1C7E2DD6"/>
    <w:rsid w:val="1CAD4CCB"/>
    <w:rsid w:val="1D186F9D"/>
    <w:rsid w:val="1DA251E1"/>
    <w:rsid w:val="1DA93704"/>
    <w:rsid w:val="1F295D72"/>
    <w:rsid w:val="1F4325C8"/>
    <w:rsid w:val="1F595BBB"/>
    <w:rsid w:val="1F7C7957"/>
    <w:rsid w:val="1FD21E35"/>
    <w:rsid w:val="1FD96681"/>
    <w:rsid w:val="1FE10390"/>
    <w:rsid w:val="1FEE7A9C"/>
    <w:rsid w:val="205164A7"/>
    <w:rsid w:val="2090238B"/>
    <w:rsid w:val="216D7544"/>
    <w:rsid w:val="21B80AA5"/>
    <w:rsid w:val="221703FC"/>
    <w:rsid w:val="225216B5"/>
    <w:rsid w:val="22955B9C"/>
    <w:rsid w:val="22B37446"/>
    <w:rsid w:val="235408E6"/>
    <w:rsid w:val="23FD5BE3"/>
    <w:rsid w:val="24386853"/>
    <w:rsid w:val="24715F69"/>
    <w:rsid w:val="24B140D4"/>
    <w:rsid w:val="24C569C9"/>
    <w:rsid w:val="24F907DC"/>
    <w:rsid w:val="250D35C2"/>
    <w:rsid w:val="252A03F9"/>
    <w:rsid w:val="25EF43C8"/>
    <w:rsid w:val="262E08BF"/>
    <w:rsid w:val="263951B2"/>
    <w:rsid w:val="263E55AD"/>
    <w:rsid w:val="264B37D3"/>
    <w:rsid w:val="27930B1B"/>
    <w:rsid w:val="283146AB"/>
    <w:rsid w:val="288C6204"/>
    <w:rsid w:val="28A96A0F"/>
    <w:rsid w:val="28EE7A07"/>
    <w:rsid w:val="2A1E2DE0"/>
    <w:rsid w:val="2A7049D1"/>
    <w:rsid w:val="2AB04251"/>
    <w:rsid w:val="2ABE7215"/>
    <w:rsid w:val="2AE8229B"/>
    <w:rsid w:val="2AEC42E5"/>
    <w:rsid w:val="2B034D47"/>
    <w:rsid w:val="2B641C02"/>
    <w:rsid w:val="2B6F681F"/>
    <w:rsid w:val="2B8302EB"/>
    <w:rsid w:val="2B893BA3"/>
    <w:rsid w:val="2BC82480"/>
    <w:rsid w:val="2BEB375B"/>
    <w:rsid w:val="2C1A5D63"/>
    <w:rsid w:val="2C2907BF"/>
    <w:rsid w:val="2C80477B"/>
    <w:rsid w:val="2CA73FE3"/>
    <w:rsid w:val="2CD46AFB"/>
    <w:rsid w:val="2CE15438"/>
    <w:rsid w:val="2D812190"/>
    <w:rsid w:val="2DA94150"/>
    <w:rsid w:val="2E1176AC"/>
    <w:rsid w:val="2ECB7AE0"/>
    <w:rsid w:val="2F0E5D72"/>
    <w:rsid w:val="2F235269"/>
    <w:rsid w:val="2F322289"/>
    <w:rsid w:val="2F4B1C2D"/>
    <w:rsid w:val="30571C73"/>
    <w:rsid w:val="313A0372"/>
    <w:rsid w:val="316C26E3"/>
    <w:rsid w:val="31B6217A"/>
    <w:rsid w:val="32305666"/>
    <w:rsid w:val="328D4D87"/>
    <w:rsid w:val="32EC2013"/>
    <w:rsid w:val="33021368"/>
    <w:rsid w:val="33133DBA"/>
    <w:rsid w:val="33491F36"/>
    <w:rsid w:val="33883009"/>
    <w:rsid w:val="34EA3595"/>
    <w:rsid w:val="34F31159"/>
    <w:rsid w:val="35684E72"/>
    <w:rsid w:val="35D34EB8"/>
    <w:rsid w:val="361A0DD1"/>
    <w:rsid w:val="363A75C1"/>
    <w:rsid w:val="36950F43"/>
    <w:rsid w:val="36F13745"/>
    <w:rsid w:val="37235D83"/>
    <w:rsid w:val="386C1CFB"/>
    <w:rsid w:val="388C38C8"/>
    <w:rsid w:val="388E6306"/>
    <w:rsid w:val="3891144C"/>
    <w:rsid w:val="393853EE"/>
    <w:rsid w:val="39474FFC"/>
    <w:rsid w:val="39A12E64"/>
    <w:rsid w:val="39E551C2"/>
    <w:rsid w:val="3A985F9F"/>
    <w:rsid w:val="3ACA79CB"/>
    <w:rsid w:val="3ACD696C"/>
    <w:rsid w:val="3B1D04C9"/>
    <w:rsid w:val="3B68666D"/>
    <w:rsid w:val="3B924465"/>
    <w:rsid w:val="3BA94452"/>
    <w:rsid w:val="3C8B2EA4"/>
    <w:rsid w:val="3CC85F33"/>
    <w:rsid w:val="3D6F2596"/>
    <w:rsid w:val="3DC16634"/>
    <w:rsid w:val="3E1A5B77"/>
    <w:rsid w:val="3E3D115C"/>
    <w:rsid w:val="3E816ACA"/>
    <w:rsid w:val="3EBA3F51"/>
    <w:rsid w:val="3ED90D52"/>
    <w:rsid w:val="3EFB0DA2"/>
    <w:rsid w:val="3F4371E9"/>
    <w:rsid w:val="3F5B25E2"/>
    <w:rsid w:val="3FBE5D52"/>
    <w:rsid w:val="40273EB3"/>
    <w:rsid w:val="403917EB"/>
    <w:rsid w:val="404F7A6B"/>
    <w:rsid w:val="40705D5D"/>
    <w:rsid w:val="40C765F3"/>
    <w:rsid w:val="41071BAC"/>
    <w:rsid w:val="41256FB7"/>
    <w:rsid w:val="42C843A0"/>
    <w:rsid w:val="42F20CDD"/>
    <w:rsid w:val="43776349"/>
    <w:rsid w:val="43A46A86"/>
    <w:rsid w:val="44B2766E"/>
    <w:rsid w:val="45834801"/>
    <w:rsid w:val="458F4D24"/>
    <w:rsid w:val="459C5BD8"/>
    <w:rsid w:val="45ED56E7"/>
    <w:rsid w:val="45F60A50"/>
    <w:rsid w:val="465B1E86"/>
    <w:rsid w:val="46C6208F"/>
    <w:rsid w:val="482C6CD1"/>
    <w:rsid w:val="4853345A"/>
    <w:rsid w:val="48845C84"/>
    <w:rsid w:val="48F82FC3"/>
    <w:rsid w:val="490D3059"/>
    <w:rsid w:val="49500FEB"/>
    <w:rsid w:val="49F32E1B"/>
    <w:rsid w:val="49FF1C1E"/>
    <w:rsid w:val="4A0B7057"/>
    <w:rsid w:val="4A280667"/>
    <w:rsid w:val="4A511B6E"/>
    <w:rsid w:val="4A7C4548"/>
    <w:rsid w:val="4B5B5B93"/>
    <w:rsid w:val="4B901389"/>
    <w:rsid w:val="4C2C30BE"/>
    <w:rsid w:val="4C3A2A9D"/>
    <w:rsid w:val="4C5D2EB7"/>
    <w:rsid w:val="4C8D7B0E"/>
    <w:rsid w:val="4CBF03D6"/>
    <w:rsid w:val="4D014AEF"/>
    <w:rsid w:val="4D513299"/>
    <w:rsid w:val="4DA22392"/>
    <w:rsid w:val="4DBE5704"/>
    <w:rsid w:val="4E9A7FF9"/>
    <w:rsid w:val="4EDF702E"/>
    <w:rsid w:val="4EF148C1"/>
    <w:rsid w:val="4F047884"/>
    <w:rsid w:val="4F813AF7"/>
    <w:rsid w:val="4FBD6EC5"/>
    <w:rsid w:val="4FBF1AB2"/>
    <w:rsid w:val="504E5AC6"/>
    <w:rsid w:val="505076EF"/>
    <w:rsid w:val="505F3BD5"/>
    <w:rsid w:val="508A0B34"/>
    <w:rsid w:val="513C5648"/>
    <w:rsid w:val="51736098"/>
    <w:rsid w:val="51B14BED"/>
    <w:rsid w:val="51EE252C"/>
    <w:rsid w:val="51FA3D86"/>
    <w:rsid w:val="52022698"/>
    <w:rsid w:val="526965AA"/>
    <w:rsid w:val="531E2281"/>
    <w:rsid w:val="54175BE1"/>
    <w:rsid w:val="5445166E"/>
    <w:rsid w:val="54632332"/>
    <w:rsid w:val="54944CE7"/>
    <w:rsid w:val="55436523"/>
    <w:rsid w:val="55CA20E9"/>
    <w:rsid w:val="55ED23C7"/>
    <w:rsid w:val="563C5184"/>
    <w:rsid w:val="565631F5"/>
    <w:rsid w:val="56C44CD3"/>
    <w:rsid w:val="581B09AF"/>
    <w:rsid w:val="582E227B"/>
    <w:rsid w:val="58983966"/>
    <w:rsid w:val="589E3B99"/>
    <w:rsid w:val="589F3533"/>
    <w:rsid w:val="593261D2"/>
    <w:rsid w:val="59423730"/>
    <w:rsid w:val="595A6E9E"/>
    <w:rsid w:val="5A8F1C82"/>
    <w:rsid w:val="5AA04D8D"/>
    <w:rsid w:val="5AFF5DE6"/>
    <w:rsid w:val="5B4026E8"/>
    <w:rsid w:val="5B482E24"/>
    <w:rsid w:val="5C9A4DB7"/>
    <w:rsid w:val="5D1A39EE"/>
    <w:rsid w:val="5D5C7688"/>
    <w:rsid w:val="5E224225"/>
    <w:rsid w:val="5E2732CD"/>
    <w:rsid w:val="5E336F39"/>
    <w:rsid w:val="60205F90"/>
    <w:rsid w:val="608E2F6C"/>
    <w:rsid w:val="60EC3C37"/>
    <w:rsid w:val="61A058F7"/>
    <w:rsid w:val="62082A4E"/>
    <w:rsid w:val="62D53BF4"/>
    <w:rsid w:val="63610183"/>
    <w:rsid w:val="637947A5"/>
    <w:rsid w:val="63D0005D"/>
    <w:rsid w:val="64B7605C"/>
    <w:rsid w:val="652B096E"/>
    <w:rsid w:val="658B678B"/>
    <w:rsid w:val="65E73B66"/>
    <w:rsid w:val="66131984"/>
    <w:rsid w:val="66E16576"/>
    <w:rsid w:val="66E33C2D"/>
    <w:rsid w:val="67427945"/>
    <w:rsid w:val="68233C28"/>
    <w:rsid w:val="6906197A"/>
    <w:rsid w:val="692A17F3"/>
    <w:rsid w:val="69C27972"/>
    <w:rsid w:val="6A2E4954"/>
    <w:rsid w:val="6A6E396D"/>
    <w:rsid w:val="6AC9421D"/>
    <w:rsid w:val="6AD94F47"/>
    <w:rsid w:val="6C4C2667"/>
    <w:rsid w:val="6CDA49A3"/>
    <w:rsid w:val="6CF36133"/>
    <w:rsid w:val="6D2C0194"/>
    <w:rsid w:val="6DD1076A"/>
    <w:rsid w:val="6DDE3DAF"/>
    <w:rsid w:val="6E1735DC"/>
    <w:rsid w:val="6E2211D6"/>
    <w:rsid w:val="70E13200"/>
    <w:rsid w:val="714420CD"/>
    <w:rsid w:val="715F4C2D"/>
    <w:rsid w:val="724530CF"/>
    <w:rsid w:val="72CB7F46"/>
    <w:rsid w:val="73121CB7"/>
    <w:rsid w:val="745C121D"/>
    <w:rsid w:val="755C4C37"/>
    <w:rsid w:val="761A2E8D"/>
    <w:rsid w:val="768D7CD7"/>
    <w:rsid w:val="774D1291"/>
    <w:rsid w:val="776C25E5"/>
    <w:rsid w:val="776C3E9D"/>
    <w:rsid w:val="77B7237F"/>
    <w:rsid w:val="78271104"/>
    <w:rsid w:val="784B7472"/>
    <w:rsid w:val="7962750F"/>
    <w:rsid w:val="796B0021"/>
    <w:rsid w:val="79701A60"/>
    <w:rsid w:val="797218E2"/>
    <w:rsid w:val="7A4205D3"/>
    <w:rsid w:val="7AB05BBC"/>
    <w:rsid w:val="7AB44E97"/>
    <w:rsid w:val="7AB94AC3"/>
    <w:rsid w:val="7AE36910"/>
    <w:rsid w:val="7B940404"/>
    <w:rsid w:val="7BF8597E"/>
    <w:rsid w:val="7C12395E"/>
    <w:rsid w:val="7C14711B"/>
    <w:rsid w:val="7C312516"/>
    <w:rsid w:val="7C45431D"/>
    <w:rsid w:val="7C4A144B"/>
    <w:rsid w:val="7C5E2D26"/>
    <w:rsid w:val="7C963B24"/>
    <w:rsid w:val="7D4C1C46"/>
    <w:rsid w:val="7DB44FBE"/>
    <w:rsid w:val="7DC64605"/>
    <w:rsid w:val="7DDD0501"/>
    <w:rsid w:val="7E2653BA"/>
    <w:rsid w:val="7E2B63E7"/>
    <w:rsid w:val="7E8B79FF"/>
    <w:rsid w:val="7E935AFB"/>
    <w:rsid w:val="7E9C3271"/>
    <w:rsid w:val="7EC65AAB"/>
    <w:rsid w:val="7F4610EC"/>
    <w:rsid w:val="7F50759A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oleObject" Target="embeddings/oleObject4.bin"/><Relationship Id="rId13" Type="http://schemas.openxmlformats.org/officeDocument/2006/relationships/oleObject" Target="embeddings/oleObject3.bin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7</Pages>
  <Words>996</Words>
  <Characters>5682</Characters>
  <Lines>47</Lines>
  <Paragraphs>13</Paragraphs>
  <TotalTime>31</TotalTime>
  <ScaleCrop>false</ScaleCrop>
  <LinksUpToDate>false</LinksUpToDate>
  <CharactersWithSpaces>6665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2021-08-06T13:01:07Z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